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360" w:lineRule="auto"/>
        <w:ind w:left="0" w:leftChars="0" w:right="0" w:rightChars="0"/>
        <w:jc w:val="center"/>
        <w:rPr>
          <w:rFonts w:hint="eastAsia"/>
          <w:lang w:val="en-US" w:eastAsia="zh-CN"/>
        </w:rPr>
      </w:pPr>
      <w:r>
        <w:rPr>
          <w:rFonts w:hint="eastAsia"/>
          <w:lang w:val="en-US" w:eastAsia="zh-CN"/>
        </w:rPr>
        <w:t>秦岭生态文明实习调研报告</w:t>
      </w:r>
    </w:p>
    <w:p>
      <w:pPr>
        <w:pageBreakBefore w:val="0"/>
        <w:kinsoku/>
        <w:wordWrap/>
        <w:overflowPunct/>
        <w:topLinePunct w:val="0"/>
        <w:autoSpaceDE/>
        <w:autoSpaceDN/>
        <w:bidi w:val="0"/>
        <w:adjustRightInd/>
        <w:snapToGrid/>
        <w:spacing w:line="360" w:lineRule="auto"/>
        <w:ind w:left="0" w:leftChars="0" w:right="0" w:rightChars="0"/>
        <w:rPr>
          <w:rFonts w:hint="eastAsia"/>
          <w:sz w:val="24"/>
          <w:szCs w:val="24"/>
          <w:lang w:val="en-US" w:eastAsia="zh-CN"/>
        </w:rPr>
      </w:pPr>
      <w:r>
        <w:rPr>
          <w:rFonts w:hint="eastAsia"/>
          <w:lang w:val="en-US" w:eastAsia="zh-CN"/>
        </w:rPr>
        <w:t xml:space="preserve">    生</w:t>
      </w:r>
      <w:r>
        <w:rPr>
          <w:rFonts w:hint="eastAsia"/>
          <w:sz w:val="24"/>
          <w:szCs w:val="24"/>
          <w:lang w:val="en-US" w:eastAsia="zh-CN"/>
        </w:rPr>
        <w:t>态文明是相对于原始文明、农业文明、工业文明而言的一种新型的文明形态，是当代人为消除生态危机、改变环境、可持续发展寻找和选择的一条文明形态。生态文明教育作为提高全民生态文明素养、树立生态文明理念的有效途径，是当前教育界，尤其是农林高校义不容辞的重要使命。</w:t>
      </w:r>
    </w:p>
    <w:p>
      <w:pPr>
        <w:pageBreakBefore w:val="0"/>
        <w:kinsoku/>
        <w:wordWrap/>
        <w:overflowPunct/>
        <w:topLinePunct w:val="0"/>
        <w:autoSpaceDE/>
        <w:autoSpaceDN/>
        <w:bidi w:val="0"/>
        <w:adjustRightInd/>
        <w:snapToGrid/>
        <w:spacing w:line="360" w:lineRule="auto"/>
        <w:ind w:left="0" w:leftChars="0" w:right="0" w:rightChars="0"/>
        <w:rPr>
          <w:rFonts w:hint="eastAsia"/>
          <w:sz w:val="24"/>
          <w:szCs w:val="24"/>
          <w:lang w:val="en-US" w:eastAsia="zh-CN"/>
        </w:rPr>
      </w:pPr>
      <w:r>
        <w:rPr>
          <w:rFonts w:hint="eastAsia"/>
          <w:sz w:val="24"/>
          <w:szCs w:val="24"/>
          <w:lang w:val="en-US" w:eastAsia="zh-CN"/>
        </w:rPr>
        <w:t xml:space="preserve">    我校长期依托秦岭自然资源开展的生物科学、环境与生态科学教育以及生态产业发展的基础，使秦岭基地成为面向高校开展生态文明教育的“新课堂”对促进陕西生态文明建设，提高全社会生态文明意识均具有重大意义。</w:t>
      </w:r>
    </w:p>
    <w:p>
      <w:pPr>
        <w:pageBreakBefore w:val="0"/>
        <w:kinsoku/>
        <w:wordWrap/>
        <w:overflowPunct/>
        <w:topLinePunct w:val="0"/>
        <w:autoSpaceDE/>
        <w:autoSpaceDN/>
        <w:bidi w:val="0"/>
        <w:adjustRightInd/>
        <w:snapToGrid/>
        <w:spacing w:line="360" w:lineRule="auto"/>
        <w:ind w:left="0" w:leftChars="0" w:right="0" w:rightChars="0" w:firstLine="480"/>
        <w:rPr>
          <w:rFonts w:hint="eastAsia"/>
          <w:sz w:val="24"/>
          <w:szCs w:val="24"/>
          <w:lang w:val="en-US" w:eastAsia="zh-CN"/>
        </w:rPr>
      </w:pPr>
      <w:r>
        <w:rPr>
          <w:rFonts w:hint="eastAsia"/>
          <w:sz w:val="24"/>
          <w:szCs w:val="24"/>
          <w:lang w:val="en-US" w:eastAsia="zh-CN"/>
        </w:rPr>
        <w:t>在本次秦岭实习中依靠火地堂生态文明基地教学点开发相关的主题，在每一主题下设置相应的课程体系。生态文明教育过程按照专题设置课程模块，形成多个主题的体验探究活动课程。教育主题是按照秦岭起源与环境变迁、秦岭历史与中华文明探源、秦岭生物多样性与生态系统求知、人与自然和谐相处认知、秦岭地区社会经济发展与生态环境巡礼等实施，在每一主题下分别设置丰富的课程内容。课程类型主要包括专题课、现场案例课和自主实践与体验课程等。为此设置了“秦岭起源与环境”、“秦岭历史与中华文明”、“秦岭生态环境与生态系统”、“秦岭生物资源与可持续发展”和“秦岭地区经济社会发展现状”五大专题，并分别在楼观台、火地塘林场、高山草甸、生态观测站、火地沟及宁陕县周边开展了现场教学。“生态文明秦岭学苑”注重体验和感悟，在“破万卷书”的基础上，做好“行万里路”这个大文章。在教学方法上注重了理论与实践相结合，保留理论教学，注重体验体会，将大秦岭区域的人文古迹连成一线，充分发挥了学生的主观能动性在实践中寻中华民族之根、索中华文明之源。</w:t>
      </w:r>
    </w:p>
    <w:p>
      <w:pPr>
        <w:keepNext w:val="0"/>
        <w:keepLines w:val="0"/>
        <w:pageBreakBefore w:val="0"/>
        <w:widowControl w:val="0"/>
        <w:kinsoku/>
        <w:wordWrap/>
        <w:overflowPunct/>
        <w:topLinePunct w:val="0"/>
        <w:autoSpaceDE/>
        <w:autoSpaceDN/>
        <w:bidi w:val="0"/>
        <w:adjustRightInd/>
        <w:snapToGrid/>
        <w:spacing w:before="50" w:after="50" w:line="360" w:lineRule="auto"/>
        <w:ind w:left="0" w:leftChars="0" w:right="0" w:rightChars="0" w:firstLine="0" w:firstLineChars="0"/>
        <w:jc w:val="both"/>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本次生态文明教育</w:t>
      </w:r>
      <w:r>
        <w:rPr>
          <w:rFonts w:hint="eastAsia" w:ascii="宋体" w:hAnsi="宋体"/>
          <w:sz w:val="24"/>
          <w:szCs w:val="24"/>
        </w:rPr>
        <w:t>针对不同基础和学科的学生，充分考虑其自身知识背景和兴趣所在，设置有区别的教学内容。</w:t>
      </w:r>
      <w:r>
        <w:rPr>
          <w:rFonts w:hint="eastAsia" w:ascii="宋体" w:hAnsi="宋体"/>
          <w:sz w:val="24"/>
          <w:szCs w:val="24"/>
          <w:lang w:eastAsia="zh-CN"/>
        </w:rPr>
        <w:t>在</w:t>
      </w:r>
      <w:r>
        <w:rPr>
          <w:rFonts w:hint="eastAsia" w:ascii="宋体" w:hAnsi="宋体"/>
          <w:sz w:val="24"/>
          <w:szCs w:val="24"/>
        </w:rPr>
        <w:t>保证教学效果</w:t>
      </w:r>
      <w:r>
        <w:rPr>
          <w:rFonts w:hint="eastAsia" w:ascii="宋体" w:hAnsi="宋体"/>
          <w:sz w:val="24"/>
          <w:szCs w:val="24"/>
          <w:lang w:eastAsia="zh-CN"/>
        </w:rPr>
        <w:t>的基础上增加了</w:t>
      </w:r>
      <w:r>
        <w:rPr>
          <w:rFonts w:hint="eastAsia" w:ascii="宋体" w:hAnsi="宋体"/>
          <w:sz w:val="24"/>
          <w:szCs w:val="24"/>
        </w:rPr>
        <w:t>内容趣味性。</w:t>
      </w:r>
      <w:r>
        <w:rPr>
          <w:rFonts w:hint="eastAsia" w:ascii="宋体" w:hAnsi="宋体"/>
          <w:sz w:val="24"/>
          <w:szCs w:val="24"/>
          <w:lang w:eastAsia="zh-CN"/>
        </w:rPr>
        <w:t>在实习中安排了，参观高山草甸，观瀑布等游览项目促进学生在美景中领略自然的魅力。</w:t>
      </w:r>
    </w:p>
    <w:p>
      <w:pPr>
        <w:pageBreakBefore w:val="0"/>
        <w:kinsoku/>
        <w:wordWrap/>
        <w:overflowPunct/>
        <w:topLinePunct w:val="0"/>
        <w:autoSpaceDE/>
        <w:autoSpaceDN/>
        <w:bidi w:val="0"/>
        <w:adjustRightInd/>
        <w:snapToGrid/>
        <w:spacing w:line="360" w:lineRule="auto"/>
        <w:ind w:left="0" w:leftChars="0" w:right="0" w:rightChars="0" w:firstLine="480"/>
        <w:rPr>
          <w:rFonts w:hint="eastAsia"/>
          <w:lang w:val="en-US" w:eastAsia="zh-CN"/>
        </w:rPr>
      </w:pPr>
    </w:p>
    <w:p>
      <w:pPr>
        <w:pStyle w:val="2"/>
        <w:pageBreakBefore w:val="0"/>
        <w:kinsoku/>
        <w:wordWrap/>
        <w:overflowPunct/>
        <w:topLinePunct w:val="0"/>
        <w:autoSpaceDE/>
        <w:autoSpaceDN/>
        <w:bidi w:val="0"/>
        <w:adjustRightInd/>
        <w:snapToGrid/>
        <w:spacing w:line="360" w:lineRule="auto"/>
        <w:ind w:left="0" w:leftChars="0" w:right="0" w:rightChars="0"/>
        <w:jc w:val="center"/>
        <w:rPr>
          <w:rFonts w:hint="eastAsia"/>
          <w:lang w:val="en-US" w:eastAsia="zh-CN"/>
        </w:rPr>
      </w:pPr>
      <w:r>
        <w:rPr>
          <w:rFonts w:hint="eastAsia"/>
          <w:lang w:val="en-US" w:eastAsia="zh-CN"/>
        </w:rPr>
        <w:t>开老城村村民环境意识与环境行为调查报告</w:t>
      </w:r>
    </w:p>
    <w:p>
      <w:pPr>
        <w:pageBreakBefore w:val="0"/>
        <w:kinsoku/>
        <w:wordWrap/>
        <w:overflowPunct/>
        <w:topLinePunct w:val="0"/>
        <w:autoSpaceDE/>
        <w:autoSpaceDN/>
        <w:bidi w:val="0"/>
        <w:adjustRightInd/>
        <w:snapToGrid/>
        <w:spacing w:line="360" w:lineRule="auto"/>
        <w:ind w:left="0" w:leftChars="0" w:right="0" w:rightChars="0" w:firstLine="480"/>
        <w:rPr>
          <w:rFonts w:hint="eastAsia"/>
          <w:lang w:val="en-US" w:eastAsia="zh-CN"/>
        </w:rPr>
      </w:pPr>
      <w:r>
        <w:rPr>
          <w:rFonts w:hint="eastAsia"/>
          <w:lang w:val="en-US" w:eastAsia="zh-CN"/>
        </w:rPr>
        <w:t>村民的环境行为对村庄生态环境产生重要影，而村民的环境意识对其环境行为产生重要的影响，为了解秦岭地区村民的环境意识与环境行为，我组在2016年7月21日于宁陕县老城村进行本次调研。</w:t>
      </w:r>
    </w:p>
    <w:p>
      <w:pPr>
        <w:pStyle w:val="2"/>
        <w:pageBreakBefore w:val="0"/>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一、调查内容及对象</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Style w:val="9"/>
          <w:rFonts w:hint="eastAsia"/>
          <w:lang w:val="en-US" w:eastAsia="zh-CN"/>
        </w:rPr>
        <w:t xml:space="preserve">（一）访谈对象及调查内容   </w:t>
      </w:r>
      <w:r>
        <w:rPr>
          <w:rFonts w:hint="eastAsia"/>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本次调研采取问卷调查法与访谈法相结合，面向宁陕县老城村居民20名，共发放问卷15份，回收有效问卷15份。调查问题主要对居民的环境知识、环境意识、环境问题进行调查本次调研的调查对象基本情况如下:</w:t>
      </w:r>
    </w:p>
    <w:tbl>
      <w:tblPr>
        <w:tblStyle w:val="7"/>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3"/>
        <w:gridCol w:w="713"/>
        <w:gridCol w:w="713"/>
        <w:gridCol w:w="713"/>
        <w:gridCol w:w="713"/>
        <w:gridCol w:w="713"/>
        <w:gridCol w:w="713"/>
        <w:gridCol w:w="713"/>
        <w:gridCol w:w="713"/>
        <w:gridCol w:w="71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93" w:type="dxa"/>
            <w:gridSpan w:val="3"/>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性别</w:t>
            </w:r>
          </w:p>
        </w:tc>
        <w:tc>
          <w:tcPr>
            <w:tcW w:w="3565" w:type="dxa"/>
            <w:gridSpan w:val="5"/>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年龄</w:t>
            </w:r>
          </w:p>
        </w:tc>
        <w:tc>
          <w:tcPr>
            <w:tcW w:w="2857" w:type="dxa"/>
            <w:gridSpan w:val="4"/>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男</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女</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25岁以下</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25岁-35岁</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35岁-45岁</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45岁-55岁</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55岁以上</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小学及以下</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初中</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中专及高中</w:t>
            </w:r>
          </w:p>
        </w:tc>
        <w:tc>
          <w:tcPr>
            <w:tcW w:w="718"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大专即本科以上学历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67"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人数</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5</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10</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0</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4</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3</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4</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718"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67"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占比</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30%</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70%</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46.7%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26.7%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6.7%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20.0%</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46.7%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26.7%</w:t>
            </w:r>
          </w:p>
        </w:tc>
        <w:tc>
          <w:tcPr>
            <w:tcW w:w="713"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6.7%</w:t>
            </w:r>
          </w:p>
        </w:tc>
        <w:tc>
          <w:tcPr>
            <w:tcW w:w="718" w:type="dxa"/>
            <w:tcMar>
              <w:top w:w="0" w:type="dxa"/>
              <w:left w:w="0" w:type="dxa"/>
              <w:bottom w:w="0" w:type="dxa"/>
              <w:right w:w="0" w:type="dxa"/>
            </w:tcMar>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20.0%</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被调查对象的收入来源如下</w:t>
      </w:r>
    </w:p>
    <w:tbl>
      <w:tblPr>
        <w:tblStyle w:val="7"/>
        <w:tblW w:w="842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420"/>
        <w:gridCol w:w="1420"/>
        <w:gridCol w:w="1420"/>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9" w:type="dxa"/>
            <w:gridSpan w:val="6"/>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收入来源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经营果树</w:t>
            </w:r>
          </w:p>
        </w:tc>
        <w:tc>
          <w:tcPr>
            <w:tcW w:w="1420"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经营大棚</w:t>
            </w:r>
          </w:p>
        </w:tc>
        <w:tc>
          <w:tcPr>
            <w:tcW w:w="1420"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打工</w:t>
            </w:r>
          </w:p>
        </w:tc>
        <w:tc>
          <w:tcPr>
            <w:tcW w:w="1420"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种粮</w:t>
            </w:r>
          </w:p>
        </w:tc>
        <w:tc>
          <w:tcPr>
            <w:tcW w:w="1422"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个体经营</w:t>
            </w:r>
          </w:p>
        </w:tc>
        <w:tc>
          <w:tcPr>
            <w:tcW w:w="1418"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1420"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0</w:t>
            </w:r>
          </w:p>
        </w:tc>
        <w:tc>
          <w:tcPr>
            <w:tcW w:w="1420"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8</w:t>
            </w:r>
          </w:p>
        </w:tc>
        <w:tc>
          <w:tcPr>
            <w:tcW w:w="1420"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4</w:t>
            </w:r>
          </w:p>
        </w:tc>
        <w:tc>
          <w:tcPr>
            <w:tcW w:w="1422"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1418" w:type="dxa"/>
            <w:vAlign w:val="center"/>
          </w:tcPr>
          <w:p>
            <w:pPr>
              <w:pageBreakBefore w:val="0"/>
              <w:numPr>
                <w:ilvl w:val="0"/>
                <w:numId w:val="0"/>
              </w:numPr>
              <w:kinsoku/>
              <w:wordWrap/>
              <w:overflowPunct/>
              <w:topLinePunct w:val="0"/>
              <w:autoSpaceDE/>
              <w:autoSpaceDN/>
              <w:bidi w:val="0"/>
              <w:adjustRightInd/>
              <w:snapToGrid/>
              <w:spacing w:line="360" w:lineRule="auto"/>
              <w:ind w:left="0" w:leftChars="0" w:right="0" w:rightChars="0"/>
              <w:jc w:val="center"/>
              <w:rPr>
                <w:rFonts w:hint="eastAsia"/>
                <w:sz w:val="21"/>
                <w:szCs w:val="21"/>
                <w:vertAlign w:val="baseline"/>
                <w:lang w:val="en-US" w:eastAsia="zh-CN"/>
              </w:rPr>
            </w:pPr>
            <w:r>
              <w:rPr>
                <w:rFonts w:hint="eastAsia"/>
                <w:sz w:val="21"/>
                <w:szCs w:val="21"/>
                <w:vertAlign w:val="baseline"/>
                <w:lang w:val="en-US" w:eastAsia="zh-CN"/>
              </w:rPr>
              <w:t>1</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从以上的情况看出，村民的主要的收入来源以外出打工为主，但是在村庄中依然存在传统的生产方式。</w:t>
      </w:r>
    </w:p>
    <w:p>
      <w:pPr>
        <w:pStyle w:val="3"/>
        <w:pageBreakBefore w:val="0"/>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（二）被调查地的基本情况概述</w:t>
      </w:r>
    </w:p>
    <w:p>
      <w:pPr>
        <w:pageBreakBefore w:val="0"/>
        <w:kinsoku/>
        <w:wordWrap/>
        <w:overflowPunct/>
        <w:topLinePunct w:val="0"/>
        <w:autoSpaceDE/>
        <w:autoSpaceDN/>
        <w:bidi w:val="0"/>
        <w:adjustRightInd/>
        <w:snapToGrid/>
        <w:spacing w:line="360" w:lineRule="auto"/>
        <w:ind w:left="0" w:leftChars="0" w:right="0" w:rightChars="0" w:firstLine="480"/>
        <w:rPr>
          <w:rFonts w:hint="eastAsia"/>
          <w:lang w:val="en-US" w:eastAsia="zh-CN"/>
        </w:rPr>
      </w:pPr>
      <w:r>
        <w:rPr>
          <w:rFonts w:hint="eastAsia"/>
          <w:lang w:val="en-US" w:eastAsia="zh-CN"/>
        </w:rPr>
        <w:t>老城村，近水临山，村容整洁，村中铺设了水泥路，有二车道的泊油路与外界联通。年轻的村民多外出打工，留在村中的村民以老人儿童为主，生活来源主要来自于外出打工，以传统产业为补充。种植业于林业是主要的产业，部分村民养少量家畜用以改善生活，每个村民均可以得到一定面积的林地。村中各家的饮用水多来自于井水，灌溉用水则来自与于河流。村中对于河流用水村中没有明确的规定，生活垃圾定期由专人处理。</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政府对“退耕还林”、“生态补偿”等相关政策进行了宣传，并取得了较好的效果。通过问卷调查得知十五名村民对“退耕环林政策”较为了解，3名村民对“生态补偿政策”认为“听说过，但对具体的内容不太了解”。表明村民对相关政策较为了解。十五名村民中无人参与过环境诉讼与环境上访。</w:t>
      </w:r>
    </w:p>
    <w:p>
      <w:pPr>
        <w:pageBreakBefore w:val="0"/>
        <w:kinsoku/>
        <w:wordWrap/>
        <w:overflowPunct/>
        <w:topLinePunct w:val="0"/>
        <w:autoSpaceDE/>
        <w:autoSpaceDN/>
        <w:bidi w:val="0"/>
        <w:adjustRightInd/>
        <w:snapToGrid/>
        <w:spacing w:line="360" w:lineRule="auto"/>
        <w:ind w:left="0" w:leftChars="0" w:right="0" w:rightChars="0" w:firstLine="480"/>
        <w:rPr>
          <w:rFonts w:hint="eastAsia"/>
          <w:lang w:val="en-US" w:eastAsia="zh-CN"/>
        </w:rPr>
      </w:pPr>
    </w:p>
    <w:p>
      <w:pPr>
        <w:pStyle w:val="2"/>
        <w:pageBreakBefore w:val="0"/>
        <w:kinsoku/>
        <w:wordWrap/>
        <w:overflowPunct/>
        <w:topLinePunct w:val="0"/>
        <w:autoSpaceDE/>
        <w:autoSpaceDN/>
        <w:bidi w:val="0"/>
        <w:adjustRightInd/>
        <w:snapToGrid/>
        <w:spacing w:line="360" w:lineRule="auto"/>
        <w:ind w:left="0" w:leftChars="0" w:right="0" w:rightChars="0"/>
        <w:rPr>
          <w:rFonts w:hint="eastAsia"/>
          <w:lang w:val="en-US" w:eastAsia="zh-CN"/>
        </w:rPr>
      </w:pPr>
    </w:p>
    <w:p>
      <w:pPr>
        <w:pStyle w:val="2"/>
        <w:pageBreakBefore w:val="0"/>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二、基本环境知识调研</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本模块设置10个问题，村民的具体回答分布如下</w:t>
      </w:r>
    </w:p>
    <w:tbl>
      <w:tblPr>
        <w:tblStyle w:val="6"/>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990"/>
        <w:gridCol w:w="1474"/>
        <w:gridCol w:w="1474"/>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回答正确</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回答错误</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废旧电池对人体没有危害</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农用薄膜、塑料包装是白色污染</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含磷洗衣粉不会造成水污染</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造成温室效应的主要气体是二氧化碳</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汽车尾气不危害健康</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过量使用化肥不会污染</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天然气比煤炭更污染大气</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绿色植物可以净化空气</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焚烧秸秆没有危害</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rPr>
        <w:tc>
          <w:tcPr>
            <w:tcW w:w="3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单一树种的树林更容易出现虫害</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4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从村民的回答的情况来看，村民对绿色植物能够美化环境，塑料制品能够成为白色污染，过量使用化肥会造成污染有了较为清楚地认识，通过访谈得知这三方面的宣传较多有关，但是对粉烧秸秆的危害认识不足。对于森林的相关知识认知不足，对水体污染、大气污染的污染来源的认识不足。</w:t>
      </w:r>
    </w:p>
    <w:p>
      <w:pPr>
        <w:pStyle w:val="2"/>
        <w:pageBreakBefore w:val="0"/>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三、环境行为</w:t>
      </w:r>
    </w:p>
    <w:tbl>
      <w:tblPr>
        <w:tblStyle w:val="6"/>
        <w:tblW w:w="8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0"/>
        <w:gridCol w:w="1193"/>
        <w:gridCol w:w="1193"/>
        <w:gridCol w:w="1193"/>
        <w:gridCol w:w="1193"/>
        <w:gridCol w:w="1193"/>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0" w:type="dxa"/>
            <w:vMerge w:val="restart"/>
            <w:tcBorders>
              <w:top w:val="single" w:color="000000" w:sz="4" w:space="0"/>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购买无磷洗衣粉</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制止别人倒垃圾</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参加环保活动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0"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人数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占比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人数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占比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人数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每次都会</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26.7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大多数会</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26.7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很少</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33.3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从来没有</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66.7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13.3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26.7</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居民对大多未注意到所购买的洗衣粉是否为无磷产品，所以购买无磷洗衣粉这一项占比较低，半数的访谈对象会阻止他人乱丢垃圾，半数的人对此却不加干涉，他们认为自己不愿意管管闲事。参加环保活动的人较少。</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rPr>
          <w:rFonts w:hint="eastAsia"/>
          <w:lang w:val="en-US" w:eastAsia="zh-CN"/>
        </w:rPr>
      </w:pPr>
      <w:r>
        <w:rPr>
          <w:rFonts w:hint="eastAsia"/>
          <w:lang w:val="en-US" w:eastAsia="zh-CN"/>
        </w:rPr>
        <w:t>在对地膜等塑料垃圾的处理方面大多数的人都可以做到将垃圾抛到垃圾桶，个别人选择就地填埋或焚烧，原因是他们认为“这么做没事，没人管”，这种回答反映出部分村民环保意识较差，村中缺乏对相应行为的干预。</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rPr>
          <w:rFonts w:hint="eastAsia"/>
          <w:lang w:val="en-US" w:eastAsia="zh-CN"/>
        </w:rPr>
      </w:pPr>
    </w:p>
    <w:tbl>
      <w:tblPr>
        <w:tblStyle w:val="6"/>
        <w:tblW w:w="8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6"/>
        <w:gridCol w:w="936"/>
        <w:gridCol w:w="936"/>
        <w:gridCol w:w="936"/>
        <w:gridCol w:w="936"/>
        <w:gridCol w:w="936"/>
        <w:gridCol w:w="936"/>
        <w:gridCol w:w="9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塑料倒进山沟</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自行焚烧</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自行填埋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倒入垃圾箱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每次都会</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大多数会</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很少</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MingLiU" w:hAnsi="MingLiU" w:eastAsia="MingLiU" w:cs="MingLiU"/>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从来没有</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MingLiU" w:hAnsi="MingLiU" w:eastAsia="MingLiU" w:cs="MingLiU"/>
                <w:i w:val="0"/>
                <w:color w:val="000000"/>
                <w:sz w:val="21"/>
                <w:szCs w:val="21"/>
                <w:u w:val="none"/>
              </w:rPr>
            </w:pPr>
            <w:r>
              <w:rPr>
                <w:rFonts w:hint="eastAsia" w:ascii="MingLiU" w:hAnsi="MingLiU" w:eastAsia="MingLiU" w:cs="MingLiU"/>
                <w:i w:val="0"/>
                <w:color w:val="000000"/>
                <w:kern w:val="0"/>
                <w:sz w:val="21"/>
                <w:szCs w:val="21"/>
                <w:u w:val="none"/>
                <w:lang w:val="en-US" w:eastAsia="zh-CN" w:bidi="ar"/>
              </w:rPr>
              <w:t>20</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在对肥料的使用方面53%的调查对象很少使用有机肥，26%的调查对象选择有机肥料。</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tbl>
      <w:tblPr>
        <w:tblStyle w:val="6"/>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9"/>
        <w:gridCol w:w="2809"/>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购买有机肥料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rPr>
                <w:rFonts w:hint="eastAsia" w:ascii="宋体" w:hAnsi="宋体" w:eastAsia="宋体" w:cs="宋体"/>
                <w:i w:val="0"/>
                <w:color w:val="000000"/>
                <w:sz w:val="21"/>
                <w:szCs w:val="21"/>
                <w:u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28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每次都是</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大多数是</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一般</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很少购买</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从来没有</w:t>
            </w:r>
          </w:p>
        </w:tc>
        <w:tc>
          <w:tcPr>
            <w:tcW w:w="28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rPr>
          <w:rFonts w:hint="eastAsia"/>
          <w:lang w:val="en-US" w:eastAsia="zh-CN"/>
        </w:rPr>
      </w:pPr>
      <w:r>
        <w:rPr>
          <w:rFonts w:hint="eastAsia"/>
          <w:lang w:val="en-US" w:eastAsia="zh-CN"/>
        </w:rPr>
        <w:t>村民的节水意识较好26%的村民不太注重节水。经访谈得知其认为距离水源地较近不需要节水，水资源较丰富。</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rPr>
          <w:rFonts w:hint="eastAsia"/>
          <w:lang w:val="en-US" w:eastAsia="zh-CN"/>
        </w:rPr>
      </w:pPr>
    </w:p>
    <w:tbl>
      <w:tblPr>
        <w:tblStyle w:val="6"/>
        <w:tblW w:w="8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67"/>
        <w:gridCol w:w="1667"/>
        <w:gridCol w:w="1667"/>
        <w:gridCol w:w="1667"/>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p>
        </w:tc>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节水</w:t>
            </w:r>
          </w:p>
        </w:tc>
        <w:tc>
          <w:tcPr>
            <w:tcW w:w="3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告知他人环保重要性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166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c>
          <w:tcPr>
            <w:tcW w:w="166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17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非常注重</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比较注重</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不太注重</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很不注重</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r>
    </w:tbl>
    <w:p>
      <w:pPr>
        <w:pStyle w:val="2"/>
        <w:pageBreakBefore w:val="0"/>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四、能源结构</w:t>
      </w:r>
    </w:p>
    <w:tbl>
      <w:tblPr>
        <w:tblStyle w:val="6"/>
        <w:tblW w:w="8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4"/>
        <w:gridCol w:w="2804"/>
        <w:gridCol w:w="2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使用煤炭作为能源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人数</w:t>
            </w:r>
          </w:p>
        </w:tc>
        <w:tc>
          <w:tcPr>
            <w:tcW w:w="280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经常使用</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约一半会用</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很少会</w:t>
            </w:r>
            <w:r>
              <w:rPr>
                <w:rStyle w:val="8"/>
                <w:rFonts w:hint="eastAsia" w:ascii="宋体" w:hAnsi="宋体" w:eastAsia="宋体" w:cs="宋体"/>
                <w:sz w:val="21"/>
                <w:szCs w:val="21"/>
                <w:lang w:val="en-US" w:eastAsia="zh-CN" w:bidi="ar"/>
              </w:rPr>
              <w:t>用</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从来没用</w:t>
            </w:r>
          </w:p>
        </w:tc>
        <w:tc>
          <w:tcPr>
            <w:tcW w:w="2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r>
        <w:rPr>
          <w:rFonts w:hint="eastAsia"/>
          <w:lang w:val="en-US" w:eastAsia="zh-CN"/>
        </w:rPr>
        <w:t>33.4%的被调查对象将煤炭作为能源，经访谈得知使用煤炭多用于冬季取暖。</w:t>
      </w:r>
    </w:p>
    <w:tbl>
      <w:tblPr>
        <w:tblStyle w:val="6"/>
        <w:tblW w:w="8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7"/>
        <w:gridCol w:w="1407"/>
        <w:gridCol w:w="1407"/>
        <w:gridCol w:w="1407"/>
        <w:gridCol w:w="1407"/>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总是</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大多是</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一半是</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很少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几乎不用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煤炭做饭</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沼气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天燃气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bl>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rPr>
          <w:rFonts w:hint="eastAsia"/>
          <w:lang w:val="en-US" w:eastAsia="zh-CN"/>
        </w:rPr>
      </w:pPr>
      <w:r>
        <w:rPr>
          <w:rFonts w:hint="eastAsia"/>
          <w:lang w:val="en-US" w:eastAsia="zh-CN"/>
        </w:rPr>
        <w:t xml:space="preserve">村中还没有接通天然气，15户人家中2户人家选择用天然气做饭，五户人家采用沼气做饭，4户人家无法达到全年供应。    </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jc w:val="right"/>
        <w:rPr>
          <w:rFonts w:hint="eastAsia"/>
          <w:lang w:val="en-US" w:eastAsia="zh-CN"/>
        </w:rPr>
      </w:pPr>
      <w:bookmarkStart w:id="0" w:name="_GoBack"/>
      <w:bookmarkEnd w:id="0"/>
      <w:r>
        <w:rPr>
          <w:rFonts w:hint="eastAsia"/>
          <w:lang w:val="en-US" w:eastAsia="zh-CN"/>
        </w:rPr>
        <w:t>齐魏和</w:t>
      </w: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p>
      <w:pPr>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lang w:val="en-US" w:eastAsia="zh-CN"/>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Calibri Light">
    <w:altName w:val="Calibri"/>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00007A87" w:usb1="80000000" w:usb2="00000008" w:usb3="00000000" w:csb0="400001FF" w:csb1="FFFF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2F2A"/>
    <w:rsid w:val="05693ABD"/>
    <w:rsid w:val="10920BED"/>
    <w:rsid w:val="13586FD2"/>
    <w:rsid w:val="1AA058D9"/>
    <w:rsid w:val="245E5DBA"/>
    <w:rsid w:val="272E34FD"/>
    <w:rsid w:val="441B68CC"/>
    <w:rsid w:val="4EC56721"/>
    <w:rsid w:val="5375237C"/>
    <w:rsid w:val="588334F2"/>
    <w:rsid w:val="5A8438AA"/>
    <w:rsid w:val="5A882A18"/>
    <w:rsid w:val="63006B92"/>
    <w:rsid w:val="64AB000E"/>
    <w:rsid w:val="7AA56FFD"/>
    <w:rsid w:val="7CC07C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auto"/>
      <w:outlineLvl w:val="0"/>
    </w:pPr>
    <w:rPr>
      <w:rFonts w:eastAsia="黑体"/>
      <w:kern w:val="44"/>
      <w:sz w:val="32"/>
    </w:rPr>
  </w:style>
  <w:style w:type="paragraph" w:styleId="3">
    <w:name w:val="heading 2"/>
    <w:basedOn w:val="1"/>
    <w:next w:val="1"/>
    <w:link w:val="9"/>
    <w:unhideWhenUsed/>
    <w:qFormat/>
    <w:uiPriority w:val="0"/>
    <w:pPr>
      <w:keepNext/>
      <w:keepLines/>
      <w:spacing w:before="20" w:beforeLines="20" w:beforeAutospacing="0" w:after="20" w:afterLines="20" w:afterAutospacing="0" w:line="240" w:lineRule="auto"/>
      <w:outlineLvl w:val="1"/>
    </w:pPr>
    <w:rPr>
      <w:rFonts w:ascii="Arial" w:hAnsi="Arial" w:eastAsia="黑体"/>
      <w:sz w:val="30"/>
    </w:rPr>
  </w:style>
  <w:style w:type="paragraph" w:styleId="4">
    <w:name w:val="heading 3"/>
    <w:basedOn w:val="1"/>
    <w:next w:val="1"/>
    <w:unhideWhenUsed/>
    <w:qFormat/>
    <w:uiPriority w:val="0"/>
    <w:pPr>
      <w:keepNext/>
      <w:keepLines/>
      <w:spacing w:before="100" w:beforeLines="0" w:beforeAutospacing="0" w:after="100" w:afterLines="0" w:afterAutospacing="0" w:line="360" w:lineRule="auto"/>
      <w:outlineLvl w:val="2"/>
    </w:pPr>
    <w:rPr>
      <w:sz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font21"/>
    <w:basedOn w:val="5"/>
    <w:qFormat/>
    <w:uiPriority w:val="0"/>
    <w:rPr>
      <w:rFonts w:hint="eastAsia" w:ascii="宋体" w:hAnsi="宋体" w:eastAsia="宋体" w:cs="宋体"/>
      <w:color w:val="000000"/>
      <w:sz w:val="18"/>
      <w:szCs w:val="18"/>
      <w:u w:val="none"/>
    </w:rPr>
  </w:style>
  <w:style w:type="character" w:customStyle="1" w:styleId="9">
    <w:name w:val="标题 2 Char"/>
    <w:link w:val="3"/>
    <w:uiPriority w:val="0"/>
    <w:rPr>
      <w:rFonts w:ascii="Arial" w:hAnsi="Arial" w:eastAsia="黑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2016-09-11T08:33:08Z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